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line="0" w:lineRule="atLeast"/>
        <w:jc w:val="center"/>
        <w:rPr>
          <w:rFonts w:ascii="方正小标宋简体" w:hAnsi="Calibri" w:eastAsia="方正小标宋简体" w:cs="Times New Roman"/>
          <w:b/>
          <w:sz w:val="36"/>
          <w:szCs w:val="36"/>
          <w:shd w:val="clear" w:color="auto" w:fill="FFFFFF"/>
        </w:rPr>
      </w:pPr>
      <w:r>
        <w:rPr>
          <w:rFonts w:hint="eastAsia" w:ascii="方正小标宋简体" w:hAnsi="Calibri" w:eastAsia="方正小标宋简体" w:cs="Times New Roman"/>
          <w:b/>
          <w:sz w:val="36"/>
          <w:szCs w:val="36"/>
          <w:shd w:val="clear" w:color="auto" w:fill="FFFFFF"/>
        </w:rPr>
        <w:t>地理与环境科学学院第十</w:t>
      </w:r>
      <w:r>
        <w:rPr>
          <w:rFonts w:hint="eastAsia" w:ascii="方正小标宋简体" w:hAnsi="Calibri" w:eastAsia="方正小标宋简体" w:cs="Times New Roman"/>
          <w:b/>
          <w:sz w:val="36"/>
          <w:szCs w:val="36"/>
          <w:shd w:val="clear" w:color="auto" w:fill="FFFFFF"/>
          <w:lang w:val="en-US" w:eastAsia="zh-CN"/>
        </w:rPr>
        <w:t>二</w:t>
      </w:r>
      <w:r>
        <w:rPr>
          <w:rFonts w:hint="eastAsia" w:ascii="方正小标宋简体" w:hAnsi="Calibri" w:eastAsia="方正小标宋简体" w:cs="Times New Roman"/>
          <w:b/>
          <w:sz w:val="36"/>
          <w:szCs w:val="36"/>
          <w:shd w:val="clear" w:color="auto" w:fill="FFFFFF"/>
        </w:rPr>
        <w:t>届地理优质课评比大赛</w:t>
      </w:r>
    </w:p>
    <w:p>
      <w:pPr>
        <w:spacing w:before="156" w:beforeLines="50" w:line="400" w:lineRule="exact"/>
        <w:jc w:val="center"/>
        <w:outlineLvl w:val="0"/>
        <w:rPr>
          <w:rFonts w:ascii="方正小标宋简体" w:hAnsi="宋体" w:eastAsia="方正小标宋简体" w:cs="Times New Roman"/>
          <w:b/>
          <w:bCs/>
          <w:sz w:val="36"/>
          <w:szCs w:val="32"/>
        </w:rPr>
      </w:pPr>
      <w:r>
        <w:rPr>
          <w:rFonts w:hint="eastAsia" w:ascii="方正小标宋简体" w:hAnsi="Times New Roman" w:eastAsia="方正小标宋简体" w:cs="Times New Roman"/>
          <w:b/>
          <w:sz w:val="36"/>
          <w:szCs w:val="36"/>
          <w:shd w:val="clear" w:color="auto" w:fill="FFFFFF"/>
        </w:rPr>
        <w:t>决赛</w:t>
      </w:r>
      <w:r>
        <w:rPr>
          <w:rFonts w:hint="eastAsia" w:ascii="方正小标宋简体" w:hAnsi="宋体" w:eastAsia="方正小标宋简体" w:cs="Times New Roman"/>
          <w:b/>
          <w:bCs/>
          <w:sz w:val="36"/>
          <w:szCs w:val="32"/>
        </w:rPr>
        <w:t>评分标准</w:t>
      </w:r>
    </w:p>
    <w:p>
      <w:pPr>
        <w:spacing w:before="156" w:beforeLines="50" w:line="400" w:lineRule="exact"/>
        <w:outlineLvl w:val="0"/>
        <w:rPr>
          <w:rFonts w:ascii="宋体" w:hAnsi="宋体" w:eastAsia="宋体" w:cs="Times New Roman"/>
          <w:b/>
          <w:bCs/>
          <w:sz w:val="32"/>
          <w:szCs w:val="32"/>
        </w:rPr>
      </w:pPr>
      <w:r>
        <w:rPr>
          <w:rFonts w:hint="eastAsia" w:ascii="Times New Roman" w:hAnsi="Times New Roman" w:eastAsia="黑体" w:cs="Times New Roman"/>
          <w:b/>
          <w:sz w:val="28"/>
          <w:szCs w:val="28"/>
        </w:rPr>
        <w:t>一、</w:t>
      </w:r>
      <w:r>
        <w:rPr>
          <w:rFonts w:ascii="Times New Roman" w:hAnsi="Times New Roman" w:eastAsia="黑体" w:cs="Times New Roman"/>
          <w:b/>
          <w:sz w:val="28"/>
          <w:szCs w:val="28"/>
        </w:rPr>
        <w:t>教学设计（单项</w:t>
      </w:r>
      <w:r>
        <w:rPr>
          <w:rFonts w:hint="eastAsia" w:ascii="Times New Roman" w:hAnsi="Times New Roman" w:eastAsia="黑体" w:cs="Times New Roman"/>
          <w:b/>
          <w:sz w:val="28"/>
          <w:szCs w:val="28"/>
        </w:rPr>
        <w:t>25</w:t>
      </w:r>
      <w:r>
        <w:rPr>
          <w:rFonts w:ascii="Times New Roman" w:hAnsi="Times New Roman" w:eastAsia="黑体" w:cs="Times New Roman"/>
          <w:b/>
          <w:sz w:val="28"/>
          <w:szCs w:val="28"/>
        </w:rPr>
        <w:t>分）</w:t>
      </w:r>
    </w:p>
    <w:p>
      <w:pPr>
        <w:tabs>
          <w:tab w:val="left" w:pos="720"/>
          <w:tab w:val="left" w:pos="900"/>
        </w:tabs>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ab/>
      </w:r>
      <w:r>
        <w:rPr>
          <w:rFonts w:hint="eastAsia" w:ascii="仿宋_GB2312" w:hAnsi="Times New Roman" w:eastAsia="仿宋_GB2312" w:cs="Times New Roman"/>
          <w:sz w:val="24"/>
          <w:szCs w:val="24"/>
        </w:rPr>
        <w:t>教学设计是指运用系统方法，将学习理论与教学理论的原理转换成教学过程和教学活动的具体计划的系统化过程。教学设计是一个开放动态的过程，是能够充分体现教师创造性教学的“文本”。参赛者应结合我国新课程改革的理念，以及基础教育现实、教学要求、课程目标等发生的深刻变化，针对指定内容进行教学设计，解决教什么、怎样教的问题，使教学过程最优化。</w:t>
      </w:r>
    </w:p>
    <w:p>
      <w:pPr>
        <w:tabs>
          <w:tab w:val="left" w:pos="720"/>
          <w:tab w:val="left" w:pos="900"/>
        </w:tabs>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（一）要求：根据抽取的试题，设计完整的一课时教学方案一例，建议设计的时间</w:t>
      </w:r>
      <w:r>
        <w:rPr>
          <w:rFonts w:hint="eastAsia" w:ascii="仿宋_GB2312" w:hAnsi="Times New Roman" w:eastAsia="仿宋_GB2312" w:cs="Times New Roman"/>
          <w:kern w:val="0"/>
          <w:sz w:val="24"/>
          <w:szCs w:val="24"/>
        </w:rPr>
        <w:t>不超过</w:t>
      </w:r>
      <w:r>
        <w:rPr>
          <w:rFonts w:hint="eastAsia" w:ascii="仿宋_GB2312" w:hAnsi="Times New Roman" w:eastAsia="仿宋_GB2312" w:cs="Times New Roman"/>
          <w:b/>
          <w:kern w:val="0"/>
          <w:sz w:val="24"/>
          <w:szCs w:val="24"/>
        </w:rPr>
        <w:t>90分钟</w:t>
      </w:r>
      <w:r>
        <w:rPr>
          <w:rFonts w:hint="eastAsia" w:ascii="仿宋_GB2312" w:hAnsi="Times New Roman" w:eastAsia="仿宋_GB2312" w:cs="Times New Roman"/>
          <w:kern w:val="0"/>
          <w:sz w:val="24"/>
          <w:szCs w:val="24"/>
        </w:rPr>
        <w:t>。</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（二）教学设计评价标准见下表。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4819"/>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873"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评价内容</w:t>
            </w:r>
          </w:p>
        </w:tc>
        <w:tc>
          <w:tcPr>
            <w:tcW w:w="4819"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 价 标 准</w:t>
            </w:r>
          </w:p>
        </w:tc>
        <w:tc>
          <w:tcPr>
            <w:tcW w:w="1546"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873" w:type="dxa"/>
            <w:vMerge w:val="restart"/>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目标设计3分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教学目标清楚、具体，易于理解，便于实施，行为动词使用正确，阐述规范</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符合课标要求、学科特点和学生实际；体现对知识、能力与创新思维等方面的要求</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873"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内容分析2分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教学内容前后知识点关系、地位、作用描述准确，重点、难点分析清楚</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jc w:val="center"/>
        </w:trPr>
        <w:tc>
          <w:tcPr>
            <w:tcW w:w="1873"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学情分析2分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学生认知特点和水平表述恰当，学习习惯和能力分析合理</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1873" w:type="dxa"/>
            <w:vMerge w:val="restart"/>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教学过程设计11分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教学主线描述清晰，教学内容处理符合课程标准要求，具有较强的系统性和逻辑性</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教学重点突出，点面结合，深浅适度；难点清楚，把握准确；化难为易，处理恰当</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教学方法清晰适当，符合教学对象要求，有利教学内容完成、难点解决和重点突出</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教学辅助手段准备与使用清晰无误，教具及现代化教学手段运用恰当</w:t>
            </w:r>
          </w:p>
        </w:tc>
        <w:tc>
          <w:tcPr>
            <w:tcW w:w="1546"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内容充实精要，适合学生水平；结构合理，过渡自然，便于操作；理论联系实际，注重教学互动，启发学生思考及问题解决</w:t>
            </w:r>
          </w:p>
        </w:tc>
        <w:tc>
          <w:tcPr>
            <w:tcW w:w="1546"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873" w:type="dxa"/>
            <w:vMerge w:val="continue"/>
            <w:vAlign w:val="center"/>
          </w:tcPr>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注重形成性评价及生成性问题解决和利用</w:t>
            </w:r>
          </w:p>
        </w:tc>
        <w:tc>
          <w:tcPr>
            <w:tcW w:w="1546"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1873"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延伸设计2分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课时分配科学、合理；辅导与答疑设置合理，练习、作业、讨论安排符合教学目标，有助强化学生反思、理解和问题解决</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1873"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文档规范2</w:t>
            </w:r>
            <w:r>
              <w:rPr>
                <w:rFonts w:hint="eastAsia" w:ascii="仿宋_GB2312" w:hAnsi="宋体" w:eastAsia="仿宋_GB2312" w:cs="宋体"/>
                <w:sz w:val="24"/>
                <w:szCs w:val="24"/>
              </w:rPr>
              <w:t>分</w:t>
            </w:r>
          </w:p>
          <w:p>
            <w:pPr>
              <w:spacing w:line="400" w:lineRule="exact"/>
              <w:jc w:val="center"/>
              <w:rPr>
                <w:rFonts w:ascii="仿宋_GB2312" w:hAnsi="Times New Roman" w:eastAsia="仿宋_GB2312" w:cs="Times New Roman"/>
                <w:sz w:val="24"/>
                <w:szCs w:val="24"/>
              </w:rPr>
            </w:pP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文字、符号、单位和公式符合标准规范；语言简洁、明了，字体、图表运用适当；文档结构完整，布局合理，格式美观</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873" w:type="dxa"/>
            <w:vAlign w:val="center"/>
          </w:tcPr>
          <w:p>
            <w:pPr>
              <w:spacing w:line="40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设计创新3分</w:t>
            </w:r>
          </w:p>
        </w:tc>
        <w:tc>
          <w:tcPr>
            <w:tcW w:w="4819"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教学方案的整体设计富有创新性，较好体现课程改革的理念和要求；教学方法选择适当，教学过程设计有突出的特色</w:t>
            </w:r>
          </w:p>
        </w:tc>
        <w:tc>
          <w:tcPr>
            <w:tcW w:w="1546" w:type="dxa"/>
            <w:vAlign w:val="center"/>
          </w:tcPr>
          <w:p>
            <w:pPr>
              <w:widowControl/>
              <w:spacing w:line="40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3</w:t>
            </w:r>
          </w:p>
        </w:tc>
      </w:tr>
    </w:tbl>
    <w:p>
      <w:pPr>
        <w:spacing w:before="156" w:beforeLines="50" w:line="400" w:lineRule="exact"/>
        <w:jc w:val="center"/>
        <w:outlineLvl w:val="0"/>
        <w:rPr>
          <w:rFonts w:ascii="仿宋_GB2312" w:hAnsi="Times New Roman" w:eastAsia="仿宋_GB2312" w:cs="Times New Roman"/>
          <w:sz w:val="24"/>
          <w:szCs w:val="24"/>
        </w:rPr>
      </w:pPr>
    </w:p>
    <w:p>
      <w:pPr>
        <w:spacing w:before="156" w:beforeLines="50" w:line="400" w:lineRule="exact"/>
        <w:outlineLvl w:val="0"/>
        <w:rPr>
          <w:rFonts w:ascii="Times New Roman" w:hAnsi="Times New Roman" w:eastAsia="黑体" w:cs="Times New Roman"/>
          <w:b/>
          <w:sz w:val="28"/>
          <w:szCs w:val="28"/>
        </w:rPr>
      </w:pPr>
      <w:r>
        <w:rPr>
          <w:rFonts w:hint="eastAsia" w:ascii="Times New Roman" w:hAnsi="Times New Roman" w:eastAsia="黑体" w:cs="Times New Roman"/>
          <w:b/>
          <w:sz w:val="28"/>
          <w:szCs w:val="28"/>
        </w:rPr>
        <w:t>二、多媒体课件制作（单项15分）</w:t>
      </w:r>
    </w:p>
    <w:p>
      <w:pPr>
        <w:spacing w:before="156" w:beforeLines="50" w:line="400" w:lineRule="exact"/>
        <w:ind w:firstLine="420"/>
        <w:rPr>
          <w:rFonts w:ascii="仿宋_GB2312" w:hAnsi="Times New Roman" w:eastAsia="仿宋_GB2312" w:cs="Times New Roman"/>
          <w:sz w:val="24"/>
          <w:szCs w:val="24"/>
        </w:rPr>
      </w:pPr>
      <w:r>
        <w:rPr>
          <w:rFonts w:hint="eastAsia" w:ascii="仿宋_GB2312" w:hAnsi="Times New Roman" w:eastAsia="仿宋_GB2312" w:cs="Times New Roman"/>
          <w:sz w:val="24"/>
          <w:szCs w:val="24"/>
        </w:rPr>
        <w:t>多媒体课件是用于实施教学活动的教学软件，参赛者应在一定的学习理论和教学理论的指导下，遵循学生的认知规律，根据学习目标或教学目标设计反映某种教学策略和教学内容的课件。课件应该形象、直观、生动、快捷、高效，并具备参与交互功能，有助于优化课堂教学，推进素质教育。</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（一）要求：根据教学设计内容制作</w:t>
      </w:r>
      <w:r>
        <w:rPr>
          <w:rFonts w:hint="eastAsia" w:ascii="仿宋_GB2312" w:hAnsi="Times New Roman" w:eastAsia="仿宋_GB2312" w:cs="Times New Roman"/>
          <w:kern w:val="0"/>
          <w:sz w:val="24"/>
          <w:szCs w:val="24"/>
        </w:rPr>
        <w:t>课件</w:t>
      </w:r>
      <w:r>
        <w:rPr>
          <w:rFonts w:hint="eastAsia" w:ascii="仿宋_GB2312" w:hAnsi="Times New Roman" w:eastAsia="仿宋_GB2312" w:cs="Times New Roman"/>
          <w:sz w:val="24"/>
          <w:szCs w:val="24"/>
        </w:rPr>
        <w:t>一例，制作平台不限，建议制作时间</w:t>
      </w:r>
      <w:r>
        <w:rPr>
          <w:rFonts w:hint="eastAsia" w:ascii="仿宋_GB2312" w:hAnsi="Times New Roman" w:eastAsia="仿宋_GB2312" w:cs="Times New Roman"/>
          <w:kern w:val="0"/>
          <w:sz w:val="24"/>
          <w:szCs w:val="24"/>
        </w:rPr>
        <w:t>不超过</w:t>
      </w:r>
      <w:r>
        <w:rPr>
          <w:rFonts w:hint="eastAsia" w:ascii="仿宋_GB2312" w:hAnsi="Times New Roman" w:eastAsia="仿宋_GB2312" w:cs="Times New Roman"/>
          <w:b/>
          <w:kern w:val="0"/>
          <w:sz w:val="24"/>
          <w:szCs w:val="24"/>
        </w:rPr>
        <w:t>60分钟</w:t>
      </w:r>
      <w:r>
        <w:rPr>
          <w:rFonts w:hint="eastAsia" w:ascii="仿宋_GB2312" w:hAnsi="Times New Roman" w:eastAsia="仿宋_GB2312" w:cs="Times New Roman"/>
          <w:kern w:val="0"/>
          <w:sz w:val="24"/>
          <w:szCs w:val="24"/>
        </w:rPr>
        <w:t>。</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（二）课件制作评价标准见下表。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5658"/>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3"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评价内容</w:t>
            </w:r>
          </w:p>
        </w:tc>
        <w:tc>
          <w:tcPr>
            <w:tcW w:w="5658"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 价 标 准</w:t>
            </w:r>
          </w:p>
        </w:tc>
        <w:tc>
          <w:tcPr>
            <w:tcW w:w="996"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Merge w:val="restart"/>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科学性</w:t>
            </w:r>
          </w:p>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4分</w:t>
            </w:r>
          </w:p>
        </w:tc>
        <w:tc>
          <w:tcPr>
            <w:tcW w:w="5658"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课件取材适宜，内容科学、正确、规范</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Merge w:val="continue"/>
            <w:vAlign w:val="center"/>
          </w:tcPr>
          <w:p>
            <w:pPr>
              <w:widowControl/>
              <w:jc w:val="center"/>
              <w:rPr>
                <w:rFonts w:ascii="仿宋_GB2312" w:hAnsi="Times New Roman" w:eastAsia="仿宋_GB2312" w:cs="Times New Roman"/>
                <w:kern w:val="0"/>
                <w:sz w:val="24"/>
                <w:szCs w:val="24"/>
              </w:rPr>
            </w:pPr>
          </w:p>
        </w:tc>
        <w:tc>
          <w:tcPr>
            <w:tcW w:w="5658"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Times New Roman"/>
                <w:sz w:val="24"/>
                <w:szCs w:val="24"/>
              </w:rPr>
              <w:t>课件演示符合现代教育理念</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教育性</w:t>
            </w:r>
          </w:p>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6分</w:t>
            </w:r>
          </w:p>
        </w:tc>
        <w:tc>
          <w:tcPr>
            <w:tcW w:w="5658"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课件设计新颖，能体现教学设计思想；知识点结构清晰，能调动学生的学习热情</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Merge w:val="restart"/>
            <w:vAlign w:val="center"/>
          </w:tcPr>
          <w:p>
            <w:pPr>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技术性</w:t>
            </w:r>
          </w:p>
          <w:p>
            <w:pPr>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3分</w:t>
            </w:r>
          </w:p>
        </w:tc>
        <w:tc>
          <w:tcPr>
            <w:tcW w:w="5658"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Times New Roman"/>
                <w:sz w:val="24"/>
                <w:szCs w:val="24"/>
              </w:rPr>
              <w:t>课件制作和使用上恰当运用多媒体效果</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Merge w:val="continue"/>
            <w:vAlign w:val="center"/>
          </w:tcPr>
          <w:p>
            <w:pPr>
              <w:widowControl/>
              <w:jc w:val="center"/>
              <w:rPr>
                <w:rFonts w:ascii="仿宋_GB2312" w:hAnsi="Times New Roman" w:eastAsia="仿宋_GB2312" w:cs="Times New Roman"/>
                <w:kern w:val="0"/>
                <w:sz w:val="24"/>
                <w:szCs w:val="24"/>
              </w:rPr>
            </w:pPr>
          </w:p>
        </w:tc>
        <w:tc>
          <w:tcPr>
            <w:tcW w:w="5658"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操作简便、快捷，交流方便，适于教学</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93" w:type="dxa"/>
            <w:vAlign w:val="center"/>
          </w:tcPr>
          <w:p>
            <w:pPr>
              <w:jc w:val="center"/>
              <w:rPr>
                <w:rFonts w:ascii="仿宋_GB2312" w:hAnsi="Times New Roman" w:eastAsia="仿宋_GB2312" w:cs="Times New Roman"/>
                <w:bCs/>
                <w:sz w:val="24"/>
                <w:szCs w:val="24"/>
              </w:rPr>
            </w:pPr>
            <w:r>
              <w:rPr>
                <w:rFonts w:hint="eastAsia" w:ascii="仿宋_GB2312" w:hAnsi="Times New Roman" w:eastAsia="仿宋_GB2312" w:cs="Times New Roman"/>
                <w:bCs/>
                <w:sz w:val="24"/>
                <w:szCs w:val="24"/>
              </w:rPr>
              <w:t>艺术性</w:t>
            </w:r>
          </w:p>
          <w:p>
            <w:pPr>
              <w:jc w:val="center"/>
              <w:rPr>
                <w:rFonts w:ascii="仿宋_GB2312" w:hAnsi="Times New Roman" w:eastAsia="仿宋_GB2312" w:cs="Times New Roman"/>
                <w:sz w:val="24"/>
                <w:szCs w:val="24"/>
              </w:rPr>
            </w:pPr>
            <w:r>
              <w:rPr>
                <w:rFonts w:hint="eastAsia" w:ascii="仿宋_GB2312" w:hAnsi="Times New Roman" w:eastAsia="仿宋_GB2312" w:cs="Times New Roman"/>
                <w:bCs/>
                <w:sz w:val="24"/>
                <w:szCs w:val="24"/>
              </w:rPr>
              <w:t>2分</w:t>
            </w:r>
          </w:p>
        </w:tc>
        <w:tc>
          <w:tcPr>
            <w:tcW w:w="5658" w:type="dxa"/>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画面设计具有较高艺术性，整体风格相对统一</w:t>
            </w:r>
          </w:p>
        </w:tc>
        <w:tc>
          <w:tcPr>
            <w:tcW w:w="996"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r>
    </w:tbl>
    <w:p>
      <w:pPr>
        <w:spacing w:before="156" w:beforeLines="50" w:line="400" w:lineRule="exact"/>
        <w:jc w:val="center"/>
        <w:outlineLvl w:val="0"/>
        <w:rPr>
          <w:rFonts w:ascii="仿宋_GB2312" w:hAnsi="Times New Roman" w:eastAsia="仿宋_GB2312" w:cs="Times New Roman"/>
          <w:sz w:val="24"/>
          <w:szCs w:val="24"/>
        </w:rPr>
      </w:pPr>
    </w:p>
    <w:p>
      <w:pPr>
        <w:spacing w:before="156" w:beforeLines="50" w:line="400" w:lineRule="exact"/>
        <w:outlineLvl w:val="0"/>
        <w:rPr>
          <w:rFonts w:ascii="Times New Roman" w:hAnsi="Times New Roman" w:eastAsia="黑体" w:cs="Times New Roman"/>
          <w:b/>
          <w:sz w:val="28"/>
          <w:szCs w:val="28"/>
        </w:rPr>
      </w:pPr>
      <w:r>
        <w:rPr>
          <w:rFonts w:hint="eastAsia" w:ascii="Times New Roman" w:hAnsi="Times New Roman" w:eastAsia="黑体" w:cs="Times New Roman"/>
          <w:b/>
          <w:sz w:val="28"/>
          <w:szCs w:val="28"/>
        </w:rPr>
        <w:t>三、即</w:t>
      </w:r>
      <w:r>
        <w:rPr>
          <w:rFonts w:hint="eastAsia" w:ascii="Times New Roman" w:hAnsi="Times New Roman" w:eastAsia="黑体" w:cs="Times New Roman"/>
          <w:b/>
          <w:sz w:val="28"/>
          <w:szCs w:val="28"/>
          <w:lang w:val="en-US" w:eastAsia="zh-CN"/>
        </w:rPr>
        <w:t>兴</w:t>
      </w:r>
      <w:r>
        <w:rPr>
          <w:rFonts w:hint="eastAsia" w:ascii="Times New Roman" w:hAnsi="Times New Roman" w:eastAsia="黑体" w:cs="Times New Roman"/>
          <w:b/>
          <w:sz w:val="28"/>
          <w:szCs w:val="28"/>
        </w:rPr>
        <w:t>讲演（单项15分）</w:t>
      </w:r>
    </w:p>
    <w:p>
      <w:pPr>
        <w:tabs>
          <w:tab w:val="left" w:pos="720"/>
          <w:tab w:val="left" w:pos="900"/>
        </w:tabs>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ab/>
      </w:r>
      <w:r>
        <w:rPr>
          <w:rFonts w:hint="eastAsia" w:ascii="仿宋_GB2312" w:hAnsi="Times New Roman" w:eastAsia="仿宋_GB2312" w:cs="Times New Roman"/>
          <w:sz w:val="24"/>
          <w:szCs w:val="24"/>
        </w:rPr>
        <w:t>即兴讲演具有即兴发挥、主题集中、篇幅短小等特点，参赛者应具备多方面的知识素养和能力，特别是需要敏捷的思维能力，快速的语言表达能力和灵活的应变能力，主要考察参赛者应用学科教育教学知识解决教学问题的能力、思想的深度以及思维的敏锐程度。</w:t>
      </w:r>
    </w:p>
    <w:p>
      <w:pPr>
        <w:tabs>
          <w:tab w:val="left" w:pos="720"/>
          <w:tab w:val="left" w:pos="900"/>
        </w:tabs>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（一）要求：根据抽取的试题进行讲演，时间不超过</w:t>
      </w:r>
      <w:r>
        <w:rPr>
          <w:rFonts w:hint="eastAsia" w:ascii="仿宋_GB2312" w:hAnsi="Times New Roman" w:eastAsia="仿宋_GB2312" w:cs="Times New Roman"/>
          <w:b/>
          <w:sz w:val="24"/>
          <w:szCs w:val="24"/>
        </w:rPr>
        <w:t>3分钟</w:t>
      </w:r>
      <w:r>
        <w:rPr>
          <w:rFonts w:hint="eastAsia" w:ascii="仿宋_GB2312" w:hAnsi="Times New Roman" w:eastAsia="仿宋_GB2312" w:cs="Times New Roman"/>
          <w:sz w:val="24"/>
          <w:szCs w:val="24"/>
        </w:rPr>
        <w:t>。</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 xml:space="preserve">（二）即席讲演评价标准见下表。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5402"/>
        <w:gridCol w:w="1307"/>
      </w:tblGrid>
      <w:tr>
        <w:tblPrEx>
          <w:tblCellMar>
            <w:top w:w="0" w:type="dxa"/>
            <w:left w:w="108" w:type="dxa"/>
            <w:bottom w:w="0" w:type="dxa"/>
            <w:right w:w="108" w:type="dxa"/>
          </w:tblCellMar>
        </w:tblPrEx>
        <w:trPr>
          <w:cantSplit/>
          <w:trHeight w:val="458"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内  容</w:t>
            </w:r>
          </w:p>
        </w:tc>
        <w:tc>
          <w:tcPr>
            <w:tcW w:w="54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 价 标 准</w:t>
            </w:r>
          </w:p>
        </w:tc>
        <w:tc>
          <w:tcPr>
            <w:tcW w:w="1307" w:type="dxa"/>
            <w:tcBorders>
              <w:top w:val="single" w:color="auto" w:sz="4" w:space="0"/>
              <w:left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讲演内容</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5分</w:t>
            </w:r>
          </w:p>
        </w:tc>
        <w:tc>
          <w:tcPr>
            <w:tcW w:w="5402"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主题鲜明切题，内容充实、针对性强</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问题分析到位，解决策略得当、新颖，说服力强</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论据贴切，符合实际，阐释充分</w:t>
            </w:r>
            <w:r>
              <w:rPr>
                <w:rFonts w:hint="eastAsia" w:ascii="仿宋_GB2312" w:hAnsi="Times New Roman" w:eastAsia="仿宋_GB2312" w:cs="Times New Roman"/>
                <w:sz w:val="24"/>
                <w:szCs w:val="24"/>
                <w:lang w:eastAsia="zh-CN"/>
              </w:rPr>
              <w:t>；</w:t>
            </w:r>
            <w:bookmarkStart w:id="0" w:name="_GoBack"/>
            <w:bookmarkEnd w:id="0"/>
            <w:r>
              <w:rPr>
                <w:rFonts w:hint="eastAsia" w:ascii="仿宋_GB2312" w:hAnsi="Times New Roman" w:eastAsia="仿宋_GB2312" w:cs="Times New Roman"/>
                <w:sz w:val="24"/>
                <w:szCs w:val="24"/>
              </w:rPr>
              <w:t>内容构架结构严谨、层次分明、条理清晰</w:t>
            </w:r>
          </w:p>
        </w:tc>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语言艺术</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3分</w:t>
            </w:r>
          </w:p>
        </w:tc>
        <w:tc>
          <w:tcPr>
            <w:tcW w:w="5402"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普通话标准，用语规范，节奏处理得当，说服力强</w:t>
            </w:r>
          </w:p>
        </w:tc>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思维艺术</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3分</w:t>
            </w:r>
          </w:p>
        </w:tc>
        <w:tc>
          <w:tcPr>
            <w:tcW w:w="5402"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思维敏捷，逻辑清晰；</w:t>
            </w:r>
            <w:r>
              <w:rPr>
                <w:rFonts w:hint="eastAsia" w:ascii="仿宋_GB2312" w:hAnsi="Times New Roman" w:eastAsia="仿宋_GB2312" w:cs="Times New Roman"/>
                <w:color w:val="000000"/>
                <w:sz w:val="24"/>
                <w:szCs w:val="24"/>
              </w:rPr>
              <w:t>灵活而有效地调整、组织讲演内容</w:t>
            </w:r>
            <w:r>
              <w:rPr>
                <w:rFonts w:hint="eastAsia" w:ascii="仿宋_GB2312" w:hAnsi="Times New Roman" w:eastAsia="仿宋_GB2312" w:cs="Times New Roman"/>
                <w:sz w:val="24"/>
                <w:szCs w:val="24"/>
              </w:rPr>
              <w:t xml:space="preserve"> </w:t>
            </w:r>
          </w:p>
        </w:tc>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仪表形象</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3分</w:t>
            </w:r>
          </w:p>
        </w:tc>
        <w:tc>
          <w:tcPr>
            <w:tcW w:w="5402"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神态自然，动作适度，与讲演内容吻合</w:t>
            </w:r>
          </w:p>
        </w:tc>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讲演时间</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1分</w:t>
            </w:r>
          </w:p>
        </w:tc>
        <w:tc>
          <w:tcPr>
            <w:tcW w:w="5402"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时间在2-3分钟之间，不超时</w:t>
            </w:r>
          </w:p>
        </w:tc>
        <w:tc>
          <w:tcPr>
            <w:tcW w:w="1307"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1</w:t>
            </w:r>
          </w:p>
        </w:tc>
      </w:tr>
    </w:tbl>
    <w:p>
      <w:pPr>
        <w:tabs>
          <w:tab w:val="left" w:pos="3210"/>
        </w:tabs>
        <w:spacing w:before="156" w:beforeLines="50" w:line="400" w:lineRule="exact"/>
        <w:rPr>
          <w:rFonts w:ascii="仿宋_GB2312" w:hAnsi="Times New Roman" w:eastAsia="仿宋_GB2312" w:cs="Times New Roman"/>
          <w:sz w:val="24"/>
          <w:szCs w:val="24"/>
        </w:rPr>
      </w:pPr>
    </w:p>
    <w:p>
      <w:pPr>
        <w:spacing w:before="156" w:beforeLines="50" w:line="400" w:lineRule="exact"/>
        <w:outlineLvl w:val="0"/>
        <w:rPr>
          <w:rFonts w:ascii="Times New Roman" w:hAnsi="Times New Roman" w:eastAsia="黑体" w:cs="Times New Roman"/>
          <w:b/>
          <w:sz w:val="28"/>
          <w:szCs w:val="28"/>
        </w:rPr>
      </w:pPr>
      <w:r>
        <w:rPr>
          <w:rFonts w:hint="eastAsia" w:ascii="Times New Roman" w:hAnsi="Times New Roman" w:eastAsia="黑体" w:cs="Times New Roman"/>
          <w:b/>
          <w:sz w:val="28"/>
          <w:szCs w:val="28"/>
        </w:rPr>
        <w:t>四、模拟上课·板书（单项45分）</w:t>
      </w:r>
    </w:p>
    <w:p>
      <w:pPr>
        <w:spacing w:before="156" w:beforeLines="50" w:line="400" w:lineRule="exact"/>
        <w:ind w:firstLine="420"/>
        <w:rPr>
          <w:rFonts w:ascii="仿宋_GB2312" w:hAnsi="Times New Roman" w:eastAsia="仿宋_GB2312" w:cs="Times New Roman"/>
          <w:sz w:val="24"/>
          <w:szCs w:val="24"/>
        </w:rPr>
      </w:pPr>
      <w:r>
        <w:rPr>
          <w:rFonts w:hint="eastAsia" w:ascii="仿宋_GB2312" w:hAnsi="Times New Roman" w:eastAsia="仿宋_GB2312" w:cs="Times New Roman"/>
          <w:sz w:val="24"/>
          <w:szCs w:val="24"/>
        </w:rPr>
        <w:t>模拟上课·板书是参赛者依据教学设计方案，自主选择一个“教学片段”或“环节”进行模拟上课。应能够突出新课程理念，展示驾驭课堂教学的艺术，体现创新精神和课堂教学研究的能力。板书在模拟上课过程中呈现。</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（一）要求：根据制作的教学设计方案和课件进行模拟上课·板书，总时间不超过</w:t>
      </w:r>
      <w:r>
        <w:rPr>
          <w:rFonts w:hint="eastAsia" w:ascii="仿宋_GB2312" w:hAnsi="Times New Roman" w:eastAsia="仿宋_GB2312" w:cs="Times New Roman"/>
          <w:b/>
          <w:sz w:val="24"/>
          <w:szCs w:val="24"/>
        </w:rPr>
        <w:t>10分钟</w:t>
      </w:r>
      <w:r>
        <w:rPr>
          <w:rFonts w:hint="eastAsia" w:ascii="仿宋_GB2312" w:hAnsi="Times New Roman" w:eastAsia="仿宋_GB2312" w:cs="Times New Roman"/>
          <w:sz w:val="24"/>
          <w:szCs w:val="24"/>
        </w:rPr>
        <w:t>。</w:t>
      </w:r>
    </w:p>
    <w:p>
      <w:pPr>
        <w:spacing w:before="156" w:beforeLines="50" w:line="4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（二）模拟上课·板书评价标准见下表。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27"/>
        <w:gridCol w:w="5469"/>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4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项目</w:t>
            </w: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评价内容</w:t>
            </w:r>
          </w:p>
        </w:tc>
        <w:tc>
          <w:tcPr>
            <w:tcW w:w="546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评 价 标 准</w:t>
            </w:r>
          </w:p>
        </w:tc>
        <w:tc>
          <w:tcPr>
            <w:tcW w:w="817" w:type="dxa"/>
            <w:tcBorders>
              <w:top w:val="single" w:color="auto" w:sz="4" w:space="0"/>
              <w:left w:val="single" w:color="auto" w:sz="4" w:space="0"/>
              <w:right w:val="single" w:color="auto" w:sz="4" w:space="0"/>
            </w:tcBorders>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模拟</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上课</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35分</w:t>
            </w: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教学目标</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目标设置明确，符合课标要求和学生实际</w:t>
            </w:r>
          </w:p>
        </w:tc>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vAlign w:val="center"/>
          </w:tcPr>
          <w:p>
            <w:pPr>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教学内容</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5分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重点内容讲解明白，教学难点处理恰当，关注学生已有知识和经验，注重学生能力培养，强调课堂交流互动，知识阐释正确</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vAlign w:val="center"/>
          </w:tcPr>
          <w:p>
            <w:pPr>
              <w:jc w:val="center"/>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教学方法</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7分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 xml:space="preserve">按新课标的教学理念处理教学内容以及教与学、知识与能力的关系，较好落实教学目标；突出自主、探究、合作学习方式，体现多元化学习方法；实现有效师生互动 </w:t>
            </w:r>
          </w:p>
        </w:tc>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vAlign w:val="center"/>
          </w:tcPr>
          <w:p>
            <w:pPr>
              <w:jc w:val="center"/>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教学过程</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7分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教学整体安排合理，环节紧凑，层次清晰；创造性使用教材；教学特色突出；恰当使用多媒体课件辅助教学，教学演示规范</w:t>
            </w:r>
          </w:p>
        </w:tc>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vAlign w:val="center"/>
          </w:tcPr>
          <w:p>
            <w:pPr>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教学素质</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4分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教态自然亲切、仪表举止得体，注重目光交流，教学语言规范准确、生动简洁</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right w:val="single" w:color="auto" w:sz="4" w:space="0"/>
            </w:tcBorders>
            <w:vAlign w:val="center"/>
          </w:tcPr>
          <w:p>
            <w:pPr>
              <w:widowControl/>
              <w:jc w:val="left"/>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教学效果</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4分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按时完成教学任务，教学目标达成度高</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41" w:type="dxa"/>
            <w:vMerge w:val="continue"/>
            <w:tcBorders>
              <w:left w:val="single" w:color="auto" w:sz="4" w:space="0"/>
              <w:bottom w:val="single" w:color="auto" w:sz="4" w:space="0"/>
              <w:right w:val="single" w:color="auto" w:sz="4" w:space="0"/>
            </w:tcBorders>
            <w:vAlign w:val="center"/>
          </w:tcPr>
          <w:p>
            <w:pPr>
              <w:widowControl/>
              <w:jc w:val="left"/>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教学创新</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5分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教学过程富有创意；能创造性的使用教材；教学方法灵活多样，有突出的特色</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jc w:val="center"/>
        </w:trPr>
        <w:tc>
          <w:tcPr>
            <w:tcW w:w="84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板书</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设计</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10分</w:t>
            </w: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内容匹配</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4分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反映教学设计意图，突显重点、难点，能调动学生主动性和积极性</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841"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构图</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4分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构思巧妙，富有创意，构图自然，形象直观，教学辅助作用显著</w:t>
            </w:r>
          </w:p>
        </w:tc>
        <w:tc>
          <w:tcPr>
            <w:tcW w:w="8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8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cs="Times New Roman"/>
                <w:sz w:val="24"/>
                <w:szCs w:val="24"/>
              </w:rPr>
            </w:pPr>
          </w:p>
        </w:tc>
        <w:tc>
          <w:tcPr>
            <w:tcW w:w="122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书写</w:t>
            </w:r>
          </w:p>
          <w:p>
            <w:pPr>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2分</w:t>
            </w:r>
          </w:p>
        </w:tc>
        <w:tc>
          <w:tcPr>
            <w:tcW w:w="5469" w:type="dxa"/>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cs="Times New Roman"/>
                <w:sz w:val="24"/>
                <w:szCs w:val="24"/>
              </w:rPr>
            </w:pPr>
            <w:r>
              <w:rPr>
                <w:rFonts w:hint="eastAsia" w:ascii="仿宋_GB2312" w:hAnsi="Times New Roman" w:eastAsia="仿宋_GB2312" w:cs="Times New Roman"/>
                <w:sz w:val="24"/>
                <w:szCs w:val="24"/>
              </w:rPr>
              <w:t>书写快速流畅，字形大小适度，清楚整洁，美观大方，规范正确</w:t>
            </w:r>
          </w:p>
        </w:tc>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cs="Times New Roman"/>
                <w:sz w:val="24"/>
                <w:szCs w:val="24"/>
              </w:rPr>
            </w:pPr>
            <w:r>
              <w:rPr>
                <w:rFonts w:hint="eastAsia" w:ascii="仿宋_GB2312" w:hAnsi="Times New Roman" w:eastAsia="仿宋_GB2312" w:cs="Times New Roman"/>
                <w:kern w:val="0"/>
                <w:sz w:val="24"/>
                <w:szCs w:val="24"/>
              </w:rPr>
              <w:t>2</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D61"/>
    <w:rsid w:val="00087D61"/>
    <w:rsid w:val="002859D9"/>
    <w:rsid w:val="006A6E9F"/>
    <w:rsid w:val="00CA4370"/>
    <w:rsid w:val="29D721AF"/>
    <w:rsid w:val="34050F37"/>
    <w:rsid w:val="661B3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359</Words>
  <Characters>2050</Characters>
  <Lines>17</Lines>
  <Paragraphs>4</Paragraphs>
  <TotalTime>2</TotalTime>
  <ScaleCrop>false</ScaleCrop>
  <LinksUpToDate>false</LinksUpToDate>
  <CharactersWithSpaces>2405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2021-03-07T11:50:00Z</dcterms:created>
  <dc:creator>朱 晗笑</dc:creator>
  <cp:lastModifiedBy>严某</cp:lastModifiedBy>
  <dcterms:modified xsi:type="dcterms:W3CDTF">2022-03-24T13:54:26Z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ICV">
    <vt:lpwstr>7C367F14A9BA4E5195ECFAD0A5BC5579</vt:lpwstr>
  </property>
</Properties>
</file>